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38F1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color w:val="0038F1"/>
          <w:sz w:val="28"/>
          <w:szCs w:val="28"/>
          <w:lang w:val="en-US"/>
        </w:rPr>
        <w:t>Intangible Economy and Electronic Money</w:t>
      </w:r>
    </w:p>
    <w:p w:rsidR="00B3632B" w:rsidRPr="00B3632B" w:rsidRDefault="00B3632B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Introduction*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Money is a fulcrum of paradoxes. It is, in the famous </w:t>
      </w:r>
      <w:proofErr w:type="spell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characterisation</w:t>
      </w:r>
      <w:proofErr w:type="spell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Simmel</w:t>
      </w:r>
      <w:proofErr w:type="spell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heartless – and yet, according to </w:t>
      </w:r>
      <w:proofErr w:type="spell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Zelizer</w:t>
      </w:r>
      <w:proofErr w:type="spell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, deeply emotional, ubiquitous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but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elusive, uniform and endlessly varied. The paradox to be explored here is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relationship between money and economic systems. This relationship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simultaneously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tight and loose. It is tight to the extent that money appears as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fundamental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dimension of the economy, a yardstick by which its growth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wealth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accumulation are measured. The difference in monetary systems can be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used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discriminate among various economic systems. Thus, fiduciary money was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dominant monetary system in the feudal economy, and the emergence of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capitalist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economy was accompanied and facilitated by the development of scriptural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money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Monetisation</w:t>
      </w:r>
      <w:proofErr w:type="spell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economy – the general use of money to effect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transactions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establish prices – was seen as a major vector of transition from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feudal to capitalist economy. But the relationship goes deeper. Money has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been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lever of power, whether economic or political, in what Carlyle [and more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recently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Fergusson (2001)] called the “cash nexus”. It is also a vector of statement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measurement of social value and preferences.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yet, relationships between money and economic systems can also be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characterised</w:t>
      </w:r>
      <w:proofErr w:type="spellEnd"/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as – if not loose, at least relatively autonomous. Both fiduciary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scriptural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money were created long before the emergence of feudal and capitalist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systems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. The path of their evolution has been long rather than short, circuitous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rather</w:t>
      </w:r>
      <w:proofErr w:type="gramEnd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than linear, agitated rather than smooth – and rarely guided by a grand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* Opinions expressed in this paper do not constitute an official position of the European</w:t>
      </w:r>
    </w:p>
    <w:p w:rsidR="00782D1B" w:rsidRPr="00B3632B" w:rsidRDefault="00517CE1" w:rsidP="00B3632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Commission or FIWG members.</w:t>
      </w:r>
      <w:proofErr w:type="gram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overriding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design. Most often, changes in monetary systems result from limited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actions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aiming to solve particular problems. It is an accumulation of incremental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changes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that periodically leads to massive systemic shifts. Money itself is a multifarious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phenomenon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two broad categories cover a wide variety of specific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currencies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which are backed by distinct institutional arrangements for issuing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settling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them. Over time, these arrangements have become ever more complex,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fact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stemming partially from the coexistence of various currencies and forms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Thus fiduciary money managed by central banks coexists and interacts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scriptural monies managed by commercial banks. National, regional and global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monetary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systems are all composite; their internal structure and boundaries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constantly changing.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Clearly, the evolution of monetary systems has been strongly shaped by economic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political requirements: trade facilitation for the private sector, debt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funding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for the public authorities. But the causality has been bi-directional, with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monetary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developments strongly impacting economic systems and their performance.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impact has not always been symbiotic. Money has often proved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recalcitrant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instrument, its logic defying goals imposed by its putative masters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triggering, in the apt sentence of Charles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Kindleberger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(1978), “manias, panics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crashes”. Management of money has never been a deterministic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endeavour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could be put on automatic pilot. Rather, it is a discretionary undertaking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requiring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constant attention and a deft touch.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relationship between monetary and economic systems is a dynamic process.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There is a broad public consensus that the underlying trend is one of a growing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importance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visibility of money. As money becomes more ubiquitous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throughout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economy, it morphs into a self-sustained financial system, simultaneously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support and the object of economic exchanges. Its complexity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increases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, its transparency decreases and its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becomes ever more difficult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comprehend and to predict. The omnipresence of markets has changed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nature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value determination. Value is no longer established by reference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objective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immutable rules and yardsticks but by a trading process, which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 unstable and path-dependent.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As a result, the economic system is subject to chronic volatility and frequent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shocks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invisible hand becomes conspicuous, but more importantly its benevolence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no longer be assumed. For many observers, the financial system got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hand and the hypertrophied “artificial” financial economy is literally a vampire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drains the “real” economy. And money, electronic, global and uncontrollable,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weapon of destruction. For instance, Joel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Kurtzman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– who, having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worked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 Editor of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Fortune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Harvard Business Review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and having collaborated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closely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with Michael Milken, can hardly be suspected of an anti-capitalist bias –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deplores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emergence of “megabyte money”, which he believes will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destabilise</w:t>
      </w:r>
      <w:proofErr w:type="spellEnd"/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world economy and provoke financial chaos (1993).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Criticism of the excessive importance of money is a long-standing tradition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social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sciences. There is, however, a crucial difference between past and current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criticism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. Thinkers such as Marx or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Simmel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(1900) accused money of being a tool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put society at the service of the economy. They saw money as the all-powerful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lever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economic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uniformisation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integration. New critics agree on the pervasive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nature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money but paint the financial system as a mechanism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destructures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destroys the economy. They question its utility and rationality.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financial economy also has its vocal and enthusiastic defenders, who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applaud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its ability to transfer resources and allocate capital rapidly and massively.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They see it as a vehicle of creative destruction, a ruthless but efficient mechanism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promote innovation and eliminate obstacles to growth and development.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In any case, the view that the financial economy is running amok is an oversimplification.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hypergrowth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has not taken place in a vacuum but is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favoured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peculiarities of the evolution of the real economy, which will be discussed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below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Furthermore, this evolution has impacted the nature of financial markets.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history of the relationship between money and the economy is instructive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general framework to provide broad analogies. Revolutionary change is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useful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example of such an analogy. We live in a period of radical transformation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economy, comparable to that of the earth-shattering transition from feudal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capitalist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economy. To the extent that this transition was accompanied and stimulated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emergence of an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institutionalised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banking sector and the concomitant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scriptural money, it can be asked whether the current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economic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transformation will stimulate the emergence of the new financial intermediaries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new form of money. This indeed seems the case: the emerging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economy, which we call the “intangible economy”, fuels the spread of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market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 the primary intermediation mechanism and the deployment of electronic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both of which in return accelerate the transition.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History can also enhance our understanding by highlighting critical differences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past and the present. One such difference is in the technology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money. Both fiduciary and scriptural money require specific technologies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infrastructure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to produce, circulate and settle currency. However, these technologies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confined to the monetary realm and thus tightly controlled by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issuers, who did their best to keep them away from public scrutiny. In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case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electronic money, technology is pervasive and transcends the monetary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domain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technology of money becomes more visible and hence more widely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At the same time that technology becomes embedded in money, it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more difficult to control by those who traditionally regulate the monetary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financial systems.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chapter will elaborate on the postulate of a close and mutually reinforcing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relationship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between the intangible economy, the triumph of markets and the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flow of electronic money. It will first review the key characteristics of the intangible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economy before looking at the dynamics of markets. It will then examine various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definitions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electronic money, before providing an alternative definition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stresses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its systemic character. Afterwards, it will outline the core alternatives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future developments of money and highlight their interactions. Future developments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then be reviewed from the viewpoint of the risks and opportunities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likely to generate. The chapter concludes with a look at the future trajectory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electronic money and its critical policy challenges, the need for new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technology-based governance frameworks.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sz w:val="28"/>
          <w:szCs w:val="28"/>
          <w:lang w:val="en-US"/>
        </w:rPr>
        <w:t>1. Background: the new economic landscape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Measurement gaps and </w:t>
      </w:r>
      <w:proofErr w:type="spellStart"/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Griliches</w:t>
      </w:r>
      <w:proofErr w:type="spellEnd"/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’ paradox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That the economy is undergoing far-reaching changes would seem a largely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incontrovertible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statement, practically conventional wisdom. Knowledge Economy,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Digital Economy, Information Society, Third Wave... names for the new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proliferate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to the point of becoming omnipresent buzz words. Yet, can we say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we really understand the current economic evolution? Do we agree on its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rationale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development path? The answer to those questions is clearly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No. Economists and statisticians, whose role it is to explain the workings of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economy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to provide performance and value metrics, are perplexed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bewildered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Despite increased data sophistication and availability, substantive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deficiencies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concerning such key economic variables as productivity, foreign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trade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investment and financial accounting measures remain. According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Zvi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Griliches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author of ground-breaking work on measurement, the share of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measured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with a degree of accuracy by official statistics fell from 50% to 30%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1947 and 1990. Weaknesses are most pronounced in the areas that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dynamic and trendsetting, such as services and information technology. Call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Griliches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’ paradox: in this age of “information revolution” and “knowledge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economy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”, measurement systems shed little light on activities where information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knowledge are generated.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Three key trends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paradox may seem amazing, to the extent that the key trends appear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well-established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documented. We can identify three such trends: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changing profile of employment and the output structure.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The shares of industry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agriculture in both total output and employment are falling steadily.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Services represent the lion’s share of both employment and output, and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constitute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principal source of employment growth.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Globalisation</w:t>
      </w:r>
      <w:proofErr w:type="spellEnd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Foreign trade has been growing more rapidly than the world’s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output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for decades. International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such as the World Bank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IMF base their activities on the assumption that world trade will continue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grow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at roughly twice the rate of world output. The international trade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final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goods is accompanied by a massive cross-border deployment of production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facilities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distribution networks, technologies and people. Global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deployment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supply resources, in particular foreign direct investment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(FDI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has been growing at an even higher rate.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ubiquity of information technology.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IT – computers, telecommunications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associated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products and services – is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 a structural vector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influences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all economic activities. The speed and magnitude of technical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progress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staggering and combine tremendous increases in quality with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continuing decline in prices. A Pentium-based PC today offers several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thousand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times as much processing power as the mainframe of the 1970s, 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price that is less than 1% of 1% of the latter. Increase in the capacity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telecommunications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concomitant price reductions are even more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impressive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development of IT has engendered a huge economic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domain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whose global size is estimated at between $600 billion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$1 100 billion.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the United States, since 1991, capital investment in information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technology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exceeds investment in traditional machinery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equipment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While there is broad agreement on the existence of these three trends,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no real consensus on their magnitude, their underlying drivers or, more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importantly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on their economic impact. Each trend is a subject of intense yet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inconclusive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controversies.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Although services represent the largest share of GDP and employment in all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OECD Member countries and their share continues to grow, their measurement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still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based on what can be called a “residual” approach: services include all activities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cannot be classified as either manufacturing or agriculture. 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This results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tremendous heterogeneity. Services range from low-paying, low-productivity,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-intensive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very local activities such as restaurants to highly paid,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highproductivity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capital-intensive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global activities such as financial trading. Some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services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immobile and non-tradable, others are extremely mobile and highly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tradable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Certain services are subject to diseconomies of scale (household services),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others are the prime beneficiaries of economies of scale (telecommunications).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heterogeneity makes it difficult to agree on a meaningful aggregate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definition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services.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In turn, confusion over the definition of services is a key element of the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controversies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about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information technology.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conventional view of services is that they are less tradable than physical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goods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This view is apparently corroborated by international trade statistics,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based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on IMF balance-of-payments data, showing that services represent some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20% of world trade, a share that remains relatively stable. There is, however, compelling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evidence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that trade in services grows much more rapidly than trade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goods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More importantly, cross-border services flows – telecommunications,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finance – constitute the very lifeblood of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 International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voice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traffic has been growing at some 16% a year. Based on firm-level information,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cross-border data traffic is growing much more rapidly than voice. According to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a study by Varian and Lyman in 2000, the global production of magnetic support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data grows by 70% a year.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Direct satellite and mixed satellite-cable networks flood our TVs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twentyfour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hours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day, seven days a week, with streams of images from around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world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Each year, some 40 million hours of original TV programming are produced,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corresponding to over 100 000 hours per day, of which 10% to 20%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exported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Global financial transactions dominate physical trade flows: the value of foreign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currency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trading alone averaged $1.1 trillion a day in 2000, more than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50 times greater than the daily physical trade volume of approximately $20 billion.</w:t>
      </w:r>
      <w:proofErr w:type="gram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Yet despite their size, visibility and intensity, global telecommunications,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financial flows remain at the periphery of conventional economic measurement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frameworks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This leads to misleading statements such as the claim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level of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today is not higher than it was in the 19th century.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assertion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based on physical trade data but ignores the other flows, which weave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ever more dense global mesh of economic activities and entities.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economic impact of information technology remains highly contentious.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controversy revolves around what Robert Solow called in 1987 a “computer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paradox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”: computers are visible everywhere except in the final output. Actually,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period of massive IT investment in the 1980s coincided with a productivity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slowdown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particularly apparent in services.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computer paradox prompted a large number of studies, many of which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based on detailed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firm-level data. Yet, opinions remain 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polarised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at ever. One group of analysts affirms that the computer paradox is simply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by-product of inadequate data and that detailed studies show a significant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technology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payoff, with return on investment often in excess of 50%. They believe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 investment was a major factor in the excellent performance of the US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late 1990s. Thus, Dale Jorgenson believes that information technology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permanently raised the long-term growth rate of that economy. On the other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sceptics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persevere. For instance, Robert Gordon forcefully argues that the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impact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IT has been limited and temporary.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Despite their intensity, the apparent wealth of data and the critical importance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their subject matter, controversies about the economic impact of services,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information technology remain inconclusive. Beyond the arguments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about data accuracy and measurement approaches, the core issue is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relevance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underlying conceptual models and assumptions. The crucial assumptions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of the existing macroeconomic framework – focus on the production and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trade of physical goods, stable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groupings and classifications, neglect of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non-material cross-border flows – are grounded in a specific vision of the economy,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fundamentally unchanged since Adam Smith, that postulates the production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of physical goods as the main source of value. These assumptions and the underlying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vision can no longer be considered universally valid. Alternative approaches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such as the service economy or the information economy are widely known, but there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has been little progress in making them conceptually more robust or operationally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more relevant. Both approaches remain largely on the periphery of mainstream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economics and statistics.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Defining trend: shift to the intangible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need for a new conceptual framework for the modern economy remains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paramount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Such a framework should build upon the contributions of service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information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economy approaches, but should be broader to encompass other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significant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trends such as the financial markets explosion.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chapter proposes an alternative framework, based on an all-encompassing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trend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: the shift from tangible to intangible. The economic landscape of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present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future is no longer shaped by physical flows of material goods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products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 by ethereal streams of data, images and symbols. On the demand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side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, we consume more and more content-based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information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entertainment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On the supply side, intangible assets such as brand, human capital,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intellectual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property and knowledge have become major determinants of companies’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value. Welcome to the intangible economy.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well-known three stages theory of economic evolution can thus be reformulated.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At the core of the agricultural economy, there was a relationship between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nature and natural products. The core relationship of the industrial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between man, machine and machine-created artificial objects. The intangible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economy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structured around relationships between man and ideas and symbols.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source of economic value and wealth is no longer the production of material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goods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 the creation and manipulation of intangible content.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shift to the intangible is general and long-lasting. It affects all sectors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aspects of economic life. According to Peter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Drucker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the relative share of raw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materials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manufacturing output has been decreasing at an annual rate of about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1% a year since the end of the Second World War.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</w:rPr>
        <w:t>Conversely</w:t>
      </w:r>
      <w:proofErr w:type="spellEnd"/>
      <w:r w:rsidRPr="00B36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32B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B3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32B">
        <w:rPr>
          <w:rFonts w:ascii="Times New Roman" w:hAnsi="Times New Roman" w:cs="Times New Roman"/>
          <w:sz w:val="28"/>
          <w:szCs w:val="28"/>
        </w:rPr>
        <w:t xml:space="preserve"> 1880s, </w:t>
      </w:r>
      <w:proofErr w:type="spellStart"/>
      <w:r w:rsidRPr="00B3632B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517CE1" w:rsidRPr="00B3632B" w:rsidRDefault="00517CE1" w:rsidP="00B3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CE1" w:rsidRPr="00B3632B" w:rsidRDefault="00517CE1" w:rsidP="00B3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CE1" w:rsidRPr="00B3632B" w:rsidRDefault="00517CE1" w:rsidP="00B3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5E997" wp14:editId="183F19EE">
            <wp:extent cx="5263848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84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relative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contribution of information and knowledge to manufacturing output has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been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growing at the same rate. The upshot of this trend is the remarkable increase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economic value added per unit of weight, as shown in Table 1.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shift to the intangible is often seen as a purely technology-driven phenomenon,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hence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frequent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characterisation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the new economy as the Internet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digital economy. This is a misleading oversimplification. Although IT is a cardinal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vector of the intangible economy, it is not the only one. The emergence of the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intangible economy owes at least as much 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basic trends in consumer </w:t>
      </w:r>
      <w:r w:rsidR="00B3632B">
        <w:rPr>
          <w:rFonts w:ascii="Times New Roman" w:hAnsi="Times New Roman" w:cs="Times New Roman"/>
          <w:sz w:val="28"/>
          <w:szCs w:val="28"/>
          <w:lang w:val="en-US"/>
        </w:rPr>
        <w:t>behavior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and in the business environment. The shift towards higher relative demand for leisure,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information and knowledge is a long-lasting trend in consumer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: for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instance, the share of services in household consumption in France has increased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from 42% in 1970 to 51% in 1990. Business innovations such as brand-driven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competition and cost-based accounting led firms to pay greater attention to the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management of intangible assets.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point here is not to argue a specific causality relationship – an arduous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ultimately futile task – but rather to avoid the fallacy of technological determinism.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While the trend toward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digitalisation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network proliferation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unmistakable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the economic and business impact of that trend remains unclear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range of potential outcomes is wide open. The intangible economy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non-deterministic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transcends Negroponte’s opposition between bits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atoms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same way that quantum physics transcends the opposition between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particles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waves.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Difficult to ignore, the intangible economy remains nevertheless hard to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define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does not easily fit into standard economic categories. To under-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stand the intangible economy, it is best to approach it from three different but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complementary perspectives: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Demand perspective: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intangible </w:t>
      </w:r>
      <w:proofErr w:type="spellStart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– final output for household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consumption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Supply perspective: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intangible assets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, used by firms to establish and maintain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their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competitive position and survival. These include brands, intellectual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property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human capital, research and development information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know-how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Economic system perspective: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logic of </w:t>
      </w:r>
      <w:proofErr w:type="spellStart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: – an interrelated set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trends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forces that affects all economic activities, changing the nature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economic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transactions and market structures.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Intangible </w:t>
      </w:r>
      <w:proofErr w:type="spellStart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artefacts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include various forms of information and communication,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high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low culture, audiovisual media, entertainment and leisure, and of course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financial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services, the ultimate intangible.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joint products, combining intangible content with physical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support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: a song with a magnetic disc for an audio CD; history and a building site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classical monument. Traditionally, content and support were tightly linked,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making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them unique or reproducible on a small scale only. The development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storage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content replication technologies loosened the links. Like a dragon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tale, identical content appears in various shapes and disguises: a song can be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live, pressed on a CD or shown as a video clip. The dissociation of content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support led to the proliferation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two ways. First, it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lifted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capacity constraints. Previously, a sports game could be watched only by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those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who could physically get to the stadium. Today, television can multiply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number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spectators ad infinitum. One could argue that stadium attendance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watching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sports event on TV are two distinct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with different consumption,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pricing characteristics. That is precisely the second dimension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proliferation: the same content provides the source for a family of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Thus a book can be offered as a hardcover, as a paperback, as a CD-ROM or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online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ability to generate these families is what makes companies such 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Disney successful: each film concept generates not only movies but also videos,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park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attractions, books, toys and other sources of revenue, thus leveraging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content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 a factor of two to four.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The consumption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displays specific and interrelated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properties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It is 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joint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(always consumed with other products, tangibles or intangibles).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• It is non-destructive: the same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can be consumed repetitively either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same consumer or by a different one.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• It is non-subtractive (or non-rival): one’s consumption does not reduce anyone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else’s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consumption. In other terms, the opportunity cost of sharing is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zero.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Intangibles such as information are often presented as a “public good”, comparable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fresh air or to national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whose consumption cannot be limited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single consumer and therefore is inherently collective. A preferable term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shared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good”, to the extent that sharing is a notable property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It can be sequential or simultaneous. However, simultaneity in time does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mean unity in space: information technology makes it possible to consume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same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several locations.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create their own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spacetime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lifts the constraints of geography.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Sharing affects critical aspects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transactions, such as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allocation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property rights. While a seller of a physical good loses his property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rights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to it, an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seller continues to hold them.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Intangible assets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shift to the ethereal is not limited to demand. On the supply side, it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stimulated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 the growing importance of intangible assets.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At first glance, intangible assets appear better defined than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Statisticians and accountants have long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that capital accumulation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asset deployment mean more than the acquisition of physical plant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equipment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share of intangible investment is expanding relative to physical investment.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According to the French national institute of economic and statistical information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(INSEE), intangible investment represented 30% of total investment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1992 in France and was growing at a quicker rate than the traditional fixed assets.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Partial evidence suggests that in other countries, such as the United Kingdom,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percentage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even higher.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notion that the intangible assets are more important to business performance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survival of a firm than its physical assets is now conventional wisdom.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 consumer goods companies – Coca-Cola, Nestle, </w:t>
      </w: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Danone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– brand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management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the top priority guiding all strategies. Brand is also essential for IT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companies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such as Intel and Compaq, which are spending substantial sums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build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it. Attempts are being made to quantify this “brand equity”. An American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business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monthly, </w:t>
      </w:r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Financial World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, each year publishes a brands valuation survey.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For leading brands such as Coca-Cola, Marlboro or Intel, brand valuation largely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exceeds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their total balance sheet.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Acknowledgement of the importance of intangible assets is not limited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brands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Intellectual property – patents, trademarks, technological know-how –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considered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critical competitive weapon, particularly in software, electronics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biotechnology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Its control is often a matter of life and death for companies. It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through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intellectual property litigation that AMD managed to preserve its foothold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microprocessors, despite Intel’s domination. In merger and acquisition transactions,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apparently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extravagant amounts paid for media assets such as Hollywood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studios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or newspapers is justified by the value attributed to brands, contents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publishing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rights.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problem of intangible assets is not the dearth of measurement. Rather, it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consistency of approaches. While managers live and die by intangible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assets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many accountants are still reluctant to include them in official accounts.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Microsoft considers software development, its core competence, as an expense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writes it off in the year incurred. English football clubs do not include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their players in their accounts. Reuters, the leading electronic information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provider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acknowledges that its balance sheet does not include the global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databases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financial information or its software and other intellectual property.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Just as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differ markedly from material goods, intangible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assets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not like tangible assets. First, they are heterogeneous: one hour of software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does not equal another hour of programming. The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revenuegenerating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capacity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an intangible asset is much more uncertain than that of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physical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one. When a plant adds a machine, it can easily quantify the potential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output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increase. On the other hand, when a computer department hires a programmer,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it cannot predict with certainty either the quantity or, more importantly,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the quality of his/her contribution. Also, intangible assets are difficult to separate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from current expenditures. Whether an advertising outlay can be classified as current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expenditure or investment depends on its purpose. Similarly, not all training</w:t>
      </w:r>
      <w:r w:rsidR="00B3632B"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632B">
        <w:rPr>
          <w:rFonts w:ascii="Times New Roman" w:hAnsi="Times New Roman" w:cs="Times New Roman"/>
          <w:sz w:val="28"/>
          <w:szCs w:val="28"/>
          <w:lang w:val="en-US"/>
        </w:rPr>
        <w:t>or software expenditures can be treated as investment.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Because intangible assets are, by definition, non-physical, they do not follow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classical progressive depreciation rules. Some assets depreciate very rapidly;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others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like a good wine, appreciate with age; still others follow non-linear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often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unpredictable life cycles.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Thus traditional asset valuation methods cannot be applied. The historical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cost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acquiring or creating an intangible asset is largely irrelevant. Asset heterogeneity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 difficult to calculate the opportunity costs. A market or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transactionbased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approach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also has serious pitfalls. For most intangible assets, markets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narrow and extremely imperfect, and transaction-based values are subject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wide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fluctuations. Thus, the range of methods used to value intangible assets is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getting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larger, making the consensus on measurement of their value ever more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logic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The impact of the intangible economy is not limited to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assets. The logic of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omnipresent and affects all sectors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activities, new and old. It profoundly transforms the ways in which firms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markets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organised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their economic transactions carried out.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logic is unsettling: it runs squarely against some of the key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tenets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the conventional logic of economics. Conventional logic is concerned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scarcity,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logic with abundance. The former stresses equilibrium;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latter, disequilibrium. Obsolescence, redundancy and volatility, perceived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past as pernicious epiphenomena, now constitute essential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necessary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vectors that shape consumption patterns and supply-side resource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deployment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• Abundance: the wager economy and the bookstore effect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intangible economy is structurally abundant. Abundance, of course, is not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new phenomenon. The productive potential of the industrial economy is enormous.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However, physical goods are subject to physical decay and their consumption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marks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beginning of the end of their economic life.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other hand, are not eliminated through consumption. The intangible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superimposes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on the abundance of production the abundance of accumulation.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Financial systems generate too many transactions; Hollywood, too much entertainment;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Internet, too much information. The ongoing deregulation of markets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intangibles, along with technological evolution, continues to extend the magnitude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gap between supply and demand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 For instance,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number of television channels in the European Union increased from 40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1980 to 150 in 1994 and over 200 in 2000.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Moreover, the gap is self-perpetuating: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navigate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through the information overload we need catalogues, indexes, documentation,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whose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very proliferation calls for more cross-references, hypertext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links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so on. Information about information is a growing business.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 crucial implication of supply abundance is the ubiquity of failure. Flops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rule, successes an exception. In Hollywood, one movie is made out of a hundred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scenarios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under development, and only one in six movies released makes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flop rule is not limited to intangibles. In the pharmaceutical industry,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4 000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synthesised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compounds ever makes it to market and only 30%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those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recover their development costs. In consumer goods, over 80% of new products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launched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the United States fail within two years. Furthermore, the cost of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product launch is rising rapidly: $50 million for a movie, $250 million for a new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drug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several billion dollars for a new car.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And yet, despite this dismal outlook, the pace of introduction of new products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not slackening. This has become a wager economy: higher and higher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stakes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against lower and lower odds. As long as a player remains at the table, she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 non-zero probability to recoup her losses. Only if she quits does her loss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final.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Another reason for continuous new product generation is what can be called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“bookstore” effect. The best bookstore is one that offers the widest choice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thus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stimulates browsing, which leads to greater consumption. It is not enough,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however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to have a wide assortment; it is also important to keep it current, hence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need for continuing new product introductions. The bookstore effect explains,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example, why Reuters maintains 20 000 pages of data in its online financial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services, while the overwhelming majority of its clients use only four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five. The value of its databases is derived not only from particular pieces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 also from the total inventory of data.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Structural abundance also has a major impact on the notion of capacity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use of productive assets. While in the industrial economy excess capacity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synonymous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with costly inefficiency, in the intangible economy it is widespread,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functional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inexpensive. It is functional, as it enables users and producers to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cope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with demand volatility. Excess capacity is inexpensive because the key flows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those of information rather of physical goods. The economics of adding capacity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information flows are very different from that for physical goods handling.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latter is clearly subject to diminishing returns and thus its marginal costs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high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In the information technology realm there might be diminishing returns 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point, but they are unlikely to be reached in the foreseeable future.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long-term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trend is for an exponential progression mode and for a dramatic fall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unit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processing and transmission costs.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• The changing nature of the firm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intangible economy undermines traditional frontiers and distinctions.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Sectoral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boundaries are crumbling: previously separate activities of telecommunications,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informatics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electronics and audiovisual media are now overlapping.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Time-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honoured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distinctions between work and leisure, home and workplace,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good and final output, consumer and producer, product and service,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blurred. Not only are the boundaries porous and overlaying, they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unstable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This is not a one-off effect but a fundamental trend. The intangible economy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not follow the rules of binary logic, of exclusivity, but those of fuzzy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logic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of overlapping.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The interpenetration profoundly changes the nature of the firm and its relationships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 environment. Internal links, between firms and their employees,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weaker; external links, between firms and suppliers, become stronger.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While employees are told to work at home, suppliers are invited to work on the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premises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Functions traditionally considered as central to the very existence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firm are now subcontracted or outsourced. Nike, a leader in sports shoes, does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manufacture any shoes. Nor does Dell, a leading supplier of computers, own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production plants. In computer services, outsourcing is one of the highest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growth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sectors.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logic ends the information asymmetry between producers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consumers and thus alters the market power balance. Today in many businesses,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customer knows as much about products and markets as the supplier.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entails not only substantial end-user price declines due to the loss of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supplier’s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market power, but also an unbundling of the production and assembly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processes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 unbundling is particularly apparent in the information technology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domain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Software applications and corporate networks are often designed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built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 customers, using inputs from different suppliers. Of course, they can also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created by suppliers with inputs from customers. “Make-or-buy” decisions are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more convoluted. The nature of competition changes: for computer services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suppliers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such as IBM or EDS, their biggest competitors are not the other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suppliers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 their clients.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These developments suggest that the traditional rationale for the existence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firm, articulated by Ronald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Coase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(1937) as the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minimisation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transaction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costs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is no longer universally valid. An alternative and broader rationale for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firm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needs to be developed, one that would stress the brand umbrella, the intellectual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property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repository, and control of distribution channels as key cohesion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factors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functions of the firm.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changing nature of value and value discovery mechanisms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intangible economy changes not only the fundamental nature of economic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 also the value discovery and capture process. Conventional pricing mechanisms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largely inadequate to capture the economic value of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two standard approaches are difficult to apply. Production costs/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marginal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costs cannot be used as a guide for pricing when marginal costs are falling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nil. Moreover, there is no proportionality between inputs and outputs. Mass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consumption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does not imply mass production. Economies of scale for intangible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are often determined by consumption rather than by production.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willingness-to-pay approach also has serious pitfalls, given the ease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replication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sharing and associated externalities. For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purchase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not equal consumption (how many people read all the books they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buy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?) 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consumption does not necessarily imply purchase: in newspapers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broadcast television, the number of “free riders” far exceeds that of paying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consumers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. Another problem, which particularly affects informational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, 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Stiglitz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(1985) called the “infinite regress”: it is impossible to determine the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a given piece of information without having this information.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Traditionally, the pricing of intangibles was a function of convenience and was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based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on the support rather than on the content. Thus, the price of a book was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determined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by its thickness and the quality of the printing, and largely ignored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content variation: the price of an excellent book was the same as the price of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one.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greater dissociation creates opportunities for unbundling: the content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now be priced separately from the support. Price discrimination becomes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common. Commercial online services, for instance, differentiate between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standard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premium services, which are sold at higher prices. Yet bundling has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advantages, in particular the simplicity of administration. It facilitates pricing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composite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(multimedia software or amusement parks). Bundling also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allows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cross-subsidies between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that are profitable and those less profitable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nevertheless essential for a full service offering. In financial services for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instance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equity research is bundled into brokerage commissions. Thus, the range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pricing schemes for intangibles is getting broader and more complex. Furthermore,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different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pricing arrangements can apply to apparently similar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Computer software can be sold as a stand-alone product, or it can be bundled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hardware or be distributed as a shareware or freeware over a network.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Internet provides a fascinating laboratory of pricing approaches through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various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combinations of selling, sharing and giving away. The debate over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respective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merits of those approaches is quite lively. Some argue that the development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metering technologies, which measure the detailed use of a given software,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variable usage-driven pricing feasible. Others plead in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favour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fixed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access charge, independent of actual use. Still another group considers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ease of replication makes content practically free and therefore the only feasible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approach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to charge for ancillary services.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As pricing of intangibles focuses more on content it highlights an inherent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instability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and the volatility of valuation becomes structural. Fixed yardsticks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benchmarks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lose their relevance. It is no longer possible to define absolute value: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everything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becomes relative. Economic value is now highly context-dependent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time-sensitive: from one transaction to the next, the price can change dramatically.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This structural volatility contagion affects not only intangible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artefacts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but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traditional industrial goods, as well as production inputs.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Markets for intangibles and intangible markets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loss of stable benchmarks leads to greater use of markets as the prime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value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discovery and transaction mechanism. The growing importance and visibility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markets constitutes one of the essential traits of the intangible economy. This is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era of markets triumphant and, as Bryan and Farrell (1996) put it, unbound.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At the same time, markets themselves undergo a substantive alteration. Their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main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purpose is no longer to support the trading of physical goods but to facilitate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exchanges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intangibles, such as information. This does not mean that markets for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physical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goods have disappeared or become irrelevant. They are alive, well and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growing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However, markets for intangibles are growing considerably faster. Furthermore,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evolution of physical goods markets is heavily influenced by the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logic.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The peculiar characteristics of intangibles lead many analysts to argue that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should not be traded through traditional markets. Ronald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Coase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attacked this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argument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(1974) and suggested that the market for ideas should be approached in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same manner as the market for goods. To put forward a variation of this suggestion,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markets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for goods should be treated as a special case of markets for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intangibles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In any event, the distinction becomes increasingly tenuous; all markets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more and more intangible, both in terms of underlying products traded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in the way they operate. Take their most visible form, the financial markets.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Over last thirty years, these have become enormous: the foreign exchange transactions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volume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is close to $1 100 trillion a day. While international trade is growing at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single-digit rate, international financial transactions grow at a double-digit rate.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Capital markets became a principal conduit for funding technological innovation,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accelerating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its diffusion and, in the process, radically changing traditional notions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economic hierarchy and capital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mobilisation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This rapid growth would not have been possible without a comprehensive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substitution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intangible data for physical objects, made possible by the massive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 information technology. What changes hands in those markets are not </w:t>
      </w: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banknotes</w:t>
      </w:r>
      <w:proofErr w:type="gramEnd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stock certificates but book entries in digital databases holding banking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securities accounts. This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the resulting drop in transaction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processing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costs is one of the explanatory factors behind the explosive growth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financial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transactions.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>Furthermore, progress in financial economics theory has led to the creation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markets that trade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dematerialised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derivatives of traditional products such as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foreign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exchange, interest rates or equity portfolios. Derivatives markets, futures,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options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, swaps, etc. have dramatically expanded the notions of tradability and risk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management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 They are growing more rapidly than cash markets in the underlying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The financial markets explosion is information-driven. The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economy and the increasing variety of economic transactions create greater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uncertainty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thus generate a strong and continuous demand for information.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lastRenderedPageBreak/>
        <w:t>Financial markets are a web of conduits for displaying and exchanging such information.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Exchange of information, viewpoints, </w:t>
      </w:r>
      <w:proofErr w:type="spellStart"/>
      <w:r w:rsidRPr="00B3632B">
        <w:rPr>
          <w:rFonts w:ascii="Times New Roman" w:hAnsi="Times New Roman" w:cs="Times New Roman"/>
          <w:sz w:val="28"/>
          <w:szCs w:val="28"/>
          <w:lang w:val="en-US"/>
        </w:rPr>
        <w:t>judgements</w:t>
      </w:r>
      <w:proofErr w:type="spell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and opinions has</w:t>
      </w:r>
    </w:p>
    <w:p w:rsidR="00517CE1" w:rsidRPr="00B3632B" w:rsidRDefault="00517CE1" w:rsidP="00B3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26B4B" wp14:editId="6E6B000C">
            <wp:extent cx="3779520" cy="1927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their main function. Higher levels of risk and uncertainty also create a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strong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demand for information about the future. Derivative markets can be seen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632B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B3632B">
        <w:rPr>
          <w:rFonts w:ascii="Times New Roman" w:hAnsi="Times New Roman" w:cs="Times New Roman"/>
          <w:sz w:val="28"/>
          <w:szCs w:val="28"/>
          <w:lang w:val="en-US"/>
        </w:rPr>
        <w:t xml:space="preserve"> an aggregation of collective views about the future.</w:t>
      </w: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632B">
        <w:rPr>
          <w:rFonts w:ascii="Times New Roman" w:hAnsi="Times New Roman" w:cs="Times New Roman"/>
          <w:b/>
          <w:bCs/>
          <w:sz w:val="28"/>
          <w:szCs w:val="28"/>
          <w:lang w:val="en-US"/>
        </w:rPr>
        <w:t>2. Financial markets and electronic money…. Next lecture</w:t>
      </w:r>
      <w:bookmarkStart w:id="0" w:name="_GoBack"/>
      <w:bookmarkEnd w:id="0"/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7CE1" w:rsidRPr="00B3632B" w:rsidRDefault="00517CE1" w:rsidP="00B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517CE1" w:rsidRPr="00B3632B" w:rsidSect="00B363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12"/>
    <w:rsid w:val="00517CE1"/>
    <w:rsid w:val="00782D1B"/>
    <w:rsid w:val="00B3632B"/>
    <w:rsid w:val="00E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6547</Words>
  <Characters>37322</Characters>
  <Application>Microsoft Office Word</Application>
  <DocSecurity>0</DocSecurity>
  <Lines>311</Lines>
  <Paragraphs>87</Paragraphs>
  <ScaleCrop>false</ScaleCrop>
  <Company/>
  <LinksUpToDate>false</LinksUpToDate>
  <CharactersWithSpaces>43782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3</cp:revision>
  <dcterms:created xsi:type="dcterms:W3CDTF">2022-10-09T19:07:00Z</dcterms:created>
  <dcterms:modified xsi:type="dcterms:W3CDTF">2022-10-10T02:47:00Z</dcterms:modified>
</cp:coreProperties>
</file>